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5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47"/>
        <w:gridCol w:w="1400"/>
        <w:gridCol w:w="5527"/>
        <w:gridCol w:w="584"/>
        <w:gridCol w:w="939"/>
        <w:gridCol w:w="430"/>
      </w:tblGrid>
      <w:tr w14:paraId="6F039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647" w:type="dxa"/>
            <w:tcBorders>
              <w:top w:val="single" w:color="auto" w:sz="6" w:space="0"/>
              <w:left w:val="single" w:color="auto" w:sz="6" w:space="0"/>
              <w:bottom w:val="single" w:color="auto" w:sz="4" w:space="0"/>
              <w:right w:val="single" w:color="auto" w:sz="6" w:space="0"/>
            </w:tcBorders>
            <w:shd w:val="clear" w:color="auto" w:fill="FFFFFF"/>
            <w:noWrap w:val="0"/>
            <w:tcMar>
              <w:left w:w="105" w:type="dxa"/>
              <w:right w:w="105" w:type="dxa"/>
            </w:tcMar>
            <w:vAlign w:val="center"/>
          </w:tcPr>
          <w:p w14:paraId="47B9B5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jc w:val="center"/>
              <w:textAlignment w:val="baseline"/>
              <w:rPr>
                <w:rFonts w:hint="eastAsia" w:ascii="仿宋" w:hAnsi="仿宋" w:eastAsia="仿宋" w:cs="仿宋"/>
                <w:i w:val="0"/>
                <w:iCs w:val="0"/>
                <w:caps w:val="0"/>
                <w:color w:val="auto"/>
                <w:spacing w:val="0"/>
                <w:sz w:val="20"/>
                <w:szCs w:val="20"/>
                <w:u w:val="none"/>
                <w:shd w:val="clear" w:color="auto" w:fill="FFFFFF"/>
                <w:vertAlign w:val="baseline"/>
                <w:lang w:val="en-US" w:eastAsia="zh-CN"/>
              </w:rPr>
            </w:pPr>
            <w:r>
              <w:rPr>
                <w:rFonts w:hint="eastAsia" w:ascii="仿宋" w:hAnsi="仿宋" w:eastAsia="仿宋" w:cs="仿宋"/>
                <w:i w:val="0"/>
                <w:iCs w:val="0"/>
                <w:caps w:val="0"/>
                <w:color w:val="auto"/>
                <w:spacing w:val="0"/>
                <w:sz w:val="20"/>
                <w:szCs w:val="20"/>
                <w:u w:val="none"/>
                <w:shd w:val="clear" w:color="auto" w:fill="FFFFFF"/>
                <w:vertAlign w:val="baseline"/>
                <w:lang w:val="en-US" w:eastAsia="zh-CN"/>
              </w:rPr>
              <w:t>序号</w:t>
            </w:r>
          </w:p>
        </w:tc>
        <w:tc>
          <w:tcPr>
            <w:tcW w:w="1400" w:type="dxa"/>
            <w:tcBorders>
              <w:top w:val="single" w:color="auto" w:sz="6" w:space="0"/>
              <w:left w:val="single" w:color="auto" w:sz="6" w:space="0"/>
              <w:bottom w:val="single" w:color="auto" w:sz="4" w:space="0"/>
              <w:right w:val="single" w:color="auto" w:sz="6" w:space="0"/>
            </w:tcBorders>
            <w:shd w:val="clear" w:color="auto" w:fill="FFFFFF"/>
            <w:noWrap w:val="0"/>
            <w:tcMar>
              <w:left w:w="105" w:type="dxa"/>
              <w:right w:w="105" w:type="dxa"/>
            </w:tcMar>
            <w:vAlign w:val="center"/>
          </w:tcPr>
          <w:p w14:paraId="5443E7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jc w:val="center"/>
              <w:textAlignment w:val="baseline"/>
              <w:rPr>
                <w:rFonts w:hint="eastAsia" w:ascii="仿宋" w:hAnsi="仿宋" w:eastAsia="仿宋" w:cs="仿宋"/>
                <w:i w:val="0"/>
                <w:iCs w:val="0"/>
                <w:caps w:val="0"/>
                <w:color w:val="auto"/>
                <w:spacing w:val="0"/>
                <w:sz w:val="20"/>
                <w:szCs w:val="20"/>
                <w:u w:val="none"/>
                <w:shd w:val="clear" w:color="auto" w:fill="FFFFFF"/>
                <w:vertAlign w:val="baseline"/>
                <w:lang w:val="en-US" w:eastAsia="zh-CN"/>
              </w:rPr>
            </w:pPr>
            <w:r>
              <w:rPr>
                <w:rFonts w:hint="eastAsia" w:ascii="仿宋" w:hAnsi="仿宋" w:eastAsia="仿宋" w:cs="仿宋"/>
                <w:i w:val="0"/>
                <w:iCs w:val="0"/>
                <w:caps w:val="0"/>
                <w:color w:val="auto"/>
                <w:spacing w:val="0"/>
                <w:sz w:val="20"/>
                <w:szCs w:val="20"/>
                <w:u w:val="none"/>
                <w:shd w:val="clear" w:color="auto" w:fill="FFFFFF"/>
                <w:vertAlign w:val="baseline"/>
                <w:lang w:val="en-US" w:eastAsia="zh-CN"/>
              </w:rPr>
              <w:t>采购内容</w:t>
            </w:r>
          </w:p>
        </w:tc>
        <w:tc>
          <w:tcPr>
            <w:tcW w:w="5527" w:type="dxa"/>
            <w:tcBorders>
              <w:top w:val="single" w:color="auto" w:sz="6" w:space="0"/>
              <w:left w:val="single" w:color="auto" w:sz="6" w:space="0"/>
              <w:bottom w:val="single" w:color="auto" w:sz="4" w:space="0"/>
              <w:right w:val="single" w:color="auto" w:sz="6" w:space="0"/>
            </w:tcBorders>
            <w:shd w:val="clear" w:color="auto" w:fill="FFFFFF"/>
            <w:noWrap w:val="0"/>
            <w:tcMar>
              <w:left w:w="105" w:type="dxa"/>
              <w:right w:w="105" w:type="dxa"/>
            </w:tcMar>
            <w:vAlign w:val="center"/>
          </w:tcPr>
          <w:p w14:paraId="2EE67C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jc w:val="center"/>
              <w:textAlignment w:val="baseline"/>
              <w:rPr>
                <w:rFonts w:hint="eastAsia" w:ascii="仿宋" w:hAnsi="仿宋" w:eastAsia="仿宋" w:cs="仿宋"/>
                <w:i w:val="0"/>
                <w:iCs w:val="0"/>
                <w:caps w:val="0"/>
                <w:color w:val="auto"/>
                <w:spacing w:val="0"/>
                <w:sz w:val="20"/>
                <w:szCs w:val="20"/>
                <w:u w:val="none"/>
                <w:shd w:val="clear" w:color="auto" w:fill="FFFFFF"/>
                <w:vertAlign w:val="baseline"/>
                <w:lang w:val="en-US" w:eastAsia="zh-CN"/>
              </w:rPr>
            </w:pPr>
            <w:r>
              <w:rPr>
                <w:rFonts w:hint="eastAsia" w:ascii="仿宋" w:hAnsi="仿宋" w:eastAsia="仿宋" w:cs="仿宋"/>
                <w:i w:val="0"/>
                <w:iCs w:val="0"/>
                <w:caps w:val="0"/>
                <w:color w:val="2C3E50"/>
                <w:spacing w:val="0"/>
                <w:sz w:val="20"/>
                <w:szCs w:val="20"/>
                <w:u w:val="none"/>
                <w:shd w:val="clear" w:color="auto" w:fill="FFFFFF"/>
                <w:vertAlign w:val="baseline"/>
                <w:lang w:val="en-US" w:eastAsia="zh-CN"/>
              </w:rPr>
              <w:t>工作内容</w:t>
            </w:r>
          </w:p>
        </w:tc>
        <w:tc>
          <w:tcPr>
            <w:tcW w:w="584" w:type="dxa"/>
            <w:tcBorders>
              <w:top w:val="single" w:color="auto" w:sz="6" w:space="0"/>
              <w:left w:val="single" w:color="auto" w:sz="6" w:space="0"/>
              <w:bottom w:val="single" w:color="auto" w:sz="4" w:space="0"/>
              <w:right w:val="single" w:color="auto" w:sz="6" w:space="0"/>
            </w:tcBorders>
            <w:shd w:val="clear" w:color="auto" w:fill="FFFFFF"/>
            <w:noWrap w:val="0"/>
            <w:tcMar>
              <w:left w:w="105" w:type="dxa"/>
              <w:right w:w="105" w:type="dxa"/>
            </w:tcMar>
            <w:vAlign w:val="center"/>
          </w:tcPr>
          <w:p w14:paraId="2EE7FA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jc w:val="center"/>
              <w:textAlignment w:val="baseline"/>
              <w:rPr>
                <w:rFonts w:hint="eastAsia" w:ascii="仿宋" w:hAnsi="仿宋" w:eastAsia="仿宋" w:cs="仿宋"/>
                <w:i w:val="0"/>
                <w:iCs w:val="0"/>
                <w:caps w:val="0"/>
                <w:color w:val="auto"/>
                <w:spacing w:val="0"/>
                <w:sz w:val="20"/>
                <w:szCs w:val="20"/>
                <w:u w:val="none"/>
                <w:shd w:val="clear" w:color="auto" w:fill="FFFFFF"/>
                <w:vertAlign w:val="baseline"/>
                <w:lang w:val="en-US" w:eastAsia="zh-CN"/>
              </w:rPr>
            </w:pPr>
            <w:r>
              <w:rPr>
                <w:rFonts w:hint="eastAsia" w:ascii="仿宋" w:hAnsi="仿宋" w:eastAsia="仿宋" w:cs="仿宋"/>
                <w:i w:val="0"/>
                <w:iCs w:val="0"/>
                <w:caps w:val="0"/>
                <w:color w:val="auto"/>
                <w:spacing w:val="0"/>
                <w:sz w:val="20"/>
                <w:szCs w:val="20"/>
                <w:u w:val="none"/>
                <w:shd w:val="clear" w:color="auto" w:fill="FFFFFF"/>
                <w:vertAlign w:val="baseline"/>
                <w:lang w:val="en-US" w:eastAsia="zh-CN"/>
              </w:rPr>
              <w:t>单位</w:t>
            </w:r>
          </w:p>
        </w:tc>
        <w:tc>
          <w:tcPr>
            <w:tcW w:w="939" w:type="dxa"/>
            <w:tcBorders>
              <w:top w:val="single" w:color="auto" w:sz="6" w:space="0"/>
              <w:left w:val="single" w:color="auto" w:sz="6" w:space="0"/>
              <w:bottom w:val="single" w:color="auto" w:sz="4" w:space="0"/>
              <w:right w:val="single" w:color="auto" w:sz="6" w:space="0"/>
            </w:tcBorders>
            <w:shd w:val="clear" w:color="auto" w:fill="FFFFFF"/>
            <w:noWrap w:val="0"/>
            <w:tcMar>
              <w:left w:w="105" w:type="dxa"/>
              <w:right w:w="105" w:type="dxa"/>
            </w:tcMar>
            <w:vAlign w:val="center"/>
          </w:tcPr>
          <w:p w14:paraId="23206B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jc w:val="center"/>
              <w:textAlignment w:val="baseline"/>
              <w:rPr>
                <w:rFonts w:hint="eastAsia" w:ascii="仿宋" w:hAnsi="仿宋" w:eastAsia="仿宋" w:cs="仿宋"/>
                <w:i w:val="0"/>
                <w:iCs w:val="0"/>
                <w:caps w:val="0"/>
                <w:color w:val="auto"/>
                <w:spacing w:val="0"/>
                <w:sz w:val="20"/>
                <w:szCs w:val="20"/>
                <w:u w:val="none"/>
                <w:shd w:val="clear" w:color="auto" w:fill="FFFFFF"/>
                <w:vertAlign w:val="baseline"/>
                <w:lang w:val="en-US" w:eastAsia="zh-CN"/>
              </w:rPr>
            </w:pPr>
            <w:r>
              <w:rPr>
                <w:rFonts w:hint="eastAsia" w:ascii="仿宋" w:hAnsi="仿宋" w:eastAsia="仿宋" w:cs="仿宋"/>
                <w:i w:val="0"/>
                <w:iCs w:val="0"/>
                <w:caps w:val="0"/>
                <w:color w:val="auto"/>
                <w:spacing w:val="0"/>
                <w:sz w:val="20"/>
                <w:szCs w:val="20"/>
                <w:u w:val="none"/>
                <w:shd w:val="clear" w:color="auto" w:fill="FFFFFF"/>
                <w:vertAlign w:val="baseline"/>
                <w:lang w:val="en-US" w:eastAsia="zh-CN"/>
              </w:rPr>
              <w:t>预计采购数量</w:t>
            </w:r>
          </w:p>
        </w:tc>
        <w:tc>
          <w:tcPr>
            <w:tcW w:w="430" w:type="dxa"/>
            <w:tcBorders>
              <w:top w:val="single" w:color="auto" w:sz="6" w:space="0"/>
              <w:left w:val="single" w:color="auto" w:sz="6" w:space="0"/>
              <w:bottom w:val="single" w:color="auto" w:sz="4" w:space="0"/>
              <w:right w:val="single" w:color="auto" w:sz="6" w:space="0"/>
            </w:tcBorders>
            <w:shd w:val="clear" w:color="auto" w:fill="FFFFFF"/>
            <w:noWrap w:val="0"/>
            <w:tcMar>
              <w:left w:w="105" w:type="dxa"/>
              <w:right w:w="105" w:type="dxa"/>
            </w:tcMar>
            <w:vAlign w:val="center"/>
          </w:tcPr>
          <w:p w14:paraId="79A1A9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jc w:val="center"/>
              <w:textAlignment w:val="baseline"/>
              <w:rPr>
                <w:rFonts w:hint="eastAsia" w:ascii="仿宋" w:hAnsi="仿宋" w:eastAsia="仿宋" w:cs="仿宋"/>
                <w:i w:val="0"/>
                <w:iCs w:val="0"/>
                <w:caps w:val="0"/>
                <w:color w:val="auto"/>
                <w:spacing w:val="0"/>
                <w:sz w:val="20"/>
                <w:szCs w:val="20"/>
                <w:u w:val="none"/>
                <w:shd w:val="clear" w:color="auto" w:fill="FFFFFF"/>
                <w:vertAlign w:val="baseline"/>
                <w:lang w:val="en-US" w:eastAsia="zh-CN"/>
              </w:rPr>
            </w:pPr>
            <w:r>
              <w:rPr>
                <w:rFonts w:hint="eastAsia" w:ascii="仿宋" w:hAnsi="仿宋" w:eastAsia="仿宋" w:cs="仿宋"/>
                <w:i w:val="0"/>
                <w:iCs w:val="0"/>
                <w:caps w:val="0"/>
                <w:color w:val="auto"/>
                <w:spacing w:val="0"/>
                <w:sz w:val="20"/>
                <w:szCs w:val="20"/>
                <w:u w:val="none"/>
                <w:shd w:val="clear" w:color="auto" w:fill="FFFFFF"/>
                <w:vertAlign w:val="baseline"/>
                <w:lang w:val="en-US" w:eastAsia="zh-CN"/>
              </w:rPr>
              <w:t>备注</w:t>
            </w:r>
          </w:p>
        </w:tc>
      </w:tr>
      <w:tr w14:paraId="3CE1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0" w:hRule="atLeast"/>
        </w:trPr>
        <w:tc>
          <w:tcPr>
            <w:tcW w:w="64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11AC609">
            <w:pPr>
              <w:keepNext w:val="0"/>
              <w:keepLines w:val="0"/>
              <w:widowControl/>
              <w:suppressLineNumbers w:val="0"/>
              <w:jc w:val="center"/>
              <w:textAlignment w:val="center"/>
              <w:rPr>
                <w:rFonts w:hint="eastAsia" w:ascii="仿宋" w:hAnsi="仿宋" w:eastAsia="仿宋" w:cs="仿宋"/>
                <w:i w:val="0"/>
                <w:iCs w:val="0"/>
                <w:caps w:val="0"/>
                <w:color w:val="auto"/>
                <w:spacing w:val="0"/>
                <w:sz w:val="20"/>
                <w:szCs w:val="20"/>
                <w:u w:val="none"/>
                <w:shd w:val="clear" w:color="auto" w:fill="FFFFFF"/>
                <w:vertAlign w:val="baseline"/>
                <w:lang w:val="en-US" w:eastAsia="zh-CN"/>
              </w:rPr>
            </w:pPr>
            <w:r>
              <w:rPr>
                <w:rFonts w:hint="eastAsia" w:ascii="仿宋" w:hAnsi="仿宋" w:eastAsia="仿宋" w:cs="仿宋"/>
                <w:i w:val="0"/>
                <w:iCs w:val="0"/>
                <w:caps w:val="0"/>
                <w:color w:val="auto"/>
                <w:spacing w:val="0"/>
                <w:sz w:val="20"/>
                <w:szCs w:val="20"/>
                <w:u w:val="none"/>
                <w:shd w:val="clear" w:color="auto" w:fill="FFFFFF"/>
                <w:vertAlign w:val="baseline"/>
                <w:lang w:val="en-US" w:eastAsia="zh-CN"/>
              </w:rPr>
              <w:t>1</w:t>
            </w:r>
          </w:p>
        </w:tc>
        <w:tc>
          <w:tcPr>
            <w:tcW w:w="140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35FBF8B">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DN800旋挖灌注桩</w:t>
            </w:r>
          </w:p>
        </w:tc>
        <w:tc>
          <w:tcPr>
            <w:tcW w:w="552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92027F5">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b w:val="0"/>
                <w:bCs w:val="0"/>
                <w:sz w:val="20"/>
                <w:szCs w:val="20"/>
                <w:vertAlign w:val="baseline"/>
                <w:lang w:val="en-US" w:eastAsia="zh-CN"/>
              </w:rPr>
              <w:t>1.地质情况土石方在报价中综合考虑。2.安拆泥浆循环系统、造浆。</w:t>
            </w:r>
          </w:p>
          <w:p w14:paraId="19F8731E">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b w:val="0"/>
                <w:bCs w:val="0"/>
                <w:sz w:val="20"/>
                <w:szCs w:val="20"/>
                <w:vertAlign w:val="baseline"/>
                <w:lang w:val="en-US" w:eastAsia="zh-CN"/>
              </w:rPr>
              <w:t>3.准备钻具,钻机就位、移动。</w:t>
            </w:r>
          </w:p>
          <w:p w14:paraId="05B8BE8D">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b w:val="0"/>
                <w:bCs w:val="0"/>
                <w:sz w:val="20"/>
                <w:szCs w:val="20"/>
                <w:vertAlign w:val="baseline"/>
                <w:lang w:val="en-US" w:eastAsia="zh-CN"/>
              </w:rPr>
              <w:t>4.钻孔、出渣、提钻、清孔、测孔等。5.含成孔，旋挖钻机成孔，作业方式干作业或根据现场实际情况选择，综合考虑。</w:t>
            </w:r>
          </w:p>
          <w:p w14:paraId="6F843755">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b w:val="0"/>
                <w:bCs w:val="0"/>
                <w:sz w:val="20"/>
                <w:szCs w:val="20"/>
                <w:vertAlign w:val="baseline"/>
                <w:lang w:val="en-US" w:eastAsia="zh-CN"/>
              </w:rPr>
              <w:t>6.桩基混凝土浇筑，含作业人员、导管、相应机械及器具等，不含泵车、混凝土材料。7。桩基钢筋笼制作、含作业人员、工器具等，不含钢筋材料。8.包含试桩。9.桩基土因影响打桩的自行场内转运挪位所需人员及机械，桩基移位自行在场内道路的修整，包含机械、路基箱等，满足进度要求或因石方组成的机械选择及增加机械或更换大功率机械等。</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5DA2EA">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m3</w:t>
            </w:r>
          </w:p>
        </w:tc>
        <w:tc>
          <w:tcPr>
            <w:tcW w:w="939"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86CCA83">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b w:val="0"/>
                <w:bCs w:val="0"/>
                <w:sz w:val="20"/>
                <w:szCs w:val="20"/>
                <w:vertAlign w:val="baseline"/>
                <w:lang w:val="en-US" w:eastAsia="zh-CN"/>
              </w:rPr>
              <w:t>411</w:t>
            </w:r>
          </w:p>
        </w:tc>
        <w:tc>
          <w:tcPr>
            <w:tcW w:w="43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A25F45E">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p>
        </w:tc>
      </w:tr>
      <w:tr w14:paraId="6F29D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0" w:hRule="atLeast"/>
        </w:trPr>
        <w:tc>
          <w:tcPr>
            <w:tcW w:w="64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CA20F4D">
            <w:pPr>
              <w:keepNext w:val="0"/>
              <w:keepLines w:val="0"/>
              <w:widowControl/>
              <w:suppressLineNumbers w:val="0"/>
              <w:jc w:val="center"/>
              <w:textAlignment w:val="center"/>
              <w:rPr>
                <w:rFonts w:hint="eastAsia" w:ascii="仿宋" w:hAnsi="仿宋" w:eastAsia="仿宋" w:cs="仿宋"/>
                <w:i w:val="0"/>
                <w:iCs w:val="0"/>
                <w:caps w:val="0"/>
                <w:color w:val="auto"/>
                <w:spacing w:val="0"/>
                <w:sz w:val="20"/>
                <w:szCs w:val="20"/>
                <w:u w:val="none"/>
                <w:shd w:val="clear" w:color="auto" w:fill="FFFFFF"/>
                <w:vertAlign w:val="baseline"/>
                <w:lang w:val="en-US" w:eastAsia="zh-CN"/>
              </w:rPr>
            </w:pPr>
            <w:r>
              <w:rPr>
                <w:rFonts w:hint="eastAsia" w:ascii="仿宋" w:hAnsi="仿宋" w:eastAsia="仿宋" w:cs="仿宋"/>
                <w:i w:val="0"/>
                <w:iCs w:val="0"/>
                <w:caps w:val="0"/>
                <w:color w:val="auto"/>
                <w:spacing w:val="0"/>
                <w:sz w:val="20"/>
                <w:szCs w:val="20"/>
                <w:u w:val="none"/>
                <w:shd w:val="clear" w:color="auto" w:fill="FFFFFF"/>
                <w:vertAlign w:val="baseline"/>
                <w:lang w:val="en-US" w:eastAsia="zh-CN"/>
              </w:rPr>
              <w:t>2</w:t>
            </w:r>
          </w:p>
        </w:tc>
        <w:tc>
          <w:tcPr>
            <w:tcW w:w="140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93F6E23">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DN1000旋挖灌注桩</w:t>
            </w:r>
          </w:p>
        </w:tc>
        <w:tc>
          <w:tcPr>
            <w:tcW w:w="552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29D5346">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b w:val="0"/>
                <w:bCs w:val="0"/>
                <w:sz w:val="20"/>
                <w:szCs w:val="20"/>
                <w:vertAlign w:val="baseline"/>
                <w:lang w:val="en-US" w:eastAsia="zh-CN"/>
              </w:rPr>
              <w:t>1.地质情况土石方在报价中综合考虑。2.安拆泥浆循环系统、造浆。</w:t>
            </w:r>
          </w:p>
          <w:p w14:paraId="665ABD44">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b w:val="0"/>
                <w:bCs w:val="0"/>
                <w:sz w:val="20"/>
                <w:szCs w:val="20"/>
                <w:vertAlign w:val="baseline"/>
                <w:lang w:val="en-US" w:eastAsia="zh-CN"/>
              </w:rPr>
              <w:t>3.准备钻具,钻机就位、移动。</w:t>
            </w:r>
          </w:p>
          <w:p w14:paraId="25D42EE0">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b w:val="0"/>
                <w:bCs w:val="0"/>
                <w:sz w:val="20"/>
                <w:szCs w:val="20"/>
                <w:vertAlign w:val="baseline"/>
                <w:lang w:val="en-US" w:eastAsia="zh-CN"/>
              </w:rPr>
              <w:t>4.钻孔、出渣、提钻、清孔、测孔等。5.含成孔，旋挖钻机成孔，作业方式干作业或根据现场实际情况选择，综合考虑。</w:t>
            </w:r>
          </w:p>
          <w:p w14:paraId="0AF66395">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b w:val="0"/>
                <w:bCs w:val="0"/>
                <w:sz w:val="20"/>
                <w:szCs w:val="20"/>
                <w:vertAlign w:val="baseline"/>
                <w:lang w:val="en-US" w:eastAsia="zh-CN"/>
              </w:rPr>
              <w:t>6.桩基混凝土浇筑，含作业人员、导管、相应机械及器具等，不含泵车、混凝土材料。7。桩基钢筋笼制作、含作业人员、工器具等，不含钢筋材料。8.包含试桩。9.桩基土因影响打桩的自行场内转运挪位所需人员及机械，桩基移位自行在场内道路的修整，包含机械、路基箱等，满足进度要求或因石方组成的机械选择及增加机械或更换大功率机械等。</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1B2422B">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m³</w:t>
            </w:r>
          </w:p>
        </w:tc>
        <w:tc>
          <w:tcPr>
            <w:tcW w:w="939"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4054A47">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b w:val="0"/>
                <w:bCs w:val="0"/>
                <w:sz w:val="20"/>
                <w:szCs w:val="20"/>
                <w:vertAlign w:val="baseline"/>
                <w:lang w:val="en-US" w:eastAsia="zh-CN"/>
              </w:rPr>
              <w:t>940</w:t>
            </w:r>
          </w:p>
        </w:tc>
        <w:tc>
          <w:tcPr>
            <w:tcW w:w="43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C16D44A">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p>
        </w:tc>
      </w:tr>
      <w:tr w14:paraId="01386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64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0CF061E">
            <w:pPr>
              <w:keepNext w:val="0"/>
              <w:keepLines w:val="0"/>
              <w:widowControl/>
              <w:suppressLineNumbers w:val="0"/>
              <w:jc w:val="center"/>
              <w:textAlignment w:val="center"/>
              <w:rPr>
                <w:rFonts w:hint="eastAsia" w:ascii="仿宋" w:hAnsi="仿宋" w:eastAsia="仿宋" w:cs="仿宋"/>
                <w:i w:val="0"/>
                <w:iCs w:val="0"/>
                <w:caps w:val="0"/>
                <w:color w:val="auto"/>
                <w:spacing w:val="0"/>
                <w:sz w:val="20"/>
                <w:szCs w:val="20"/>
                <w:u w:val="none"/>
                <w:shd w:val="clear" w:color="auto" w:fill="FFFFFF"/>
                <w:vertAlign w:val="baseline"/>
                <w:lang w:val="en-US" w:eastAsia="zh-CN"/>
              </w:rPr>
            </w:pPr>
            <w:r>
              <w:rPr>
                <w:rFonts w:hint="eastAsia" w:ascii="仿宋" w:hAnsi="仿宋" w:eastAsia="仿宋" w:cs="仿宋"/>
                <w:i w:val="0"/>
                <w:iCs w:val="0"/>
                <w:caps w:val="0"/>
                <w:color w:val="auto"/>
                <w:spacing w:val="0"/>
                <w:sz w:val="20"/>
                <w:szCs w:val="20"/>
                <w:u w:val="none"/>
                <w:shd w:val="clear" w:color="auto" w:fill="FFFFFF"/>
                <w:vertAlign w:val="baseline"/>
                <w:lang w:val="en-US" w:eastAsia="zh-CN"/>
              </w:rPr>
              <w:t>3</w:t>
            </w:r>
          </w:p>
        </w:tc>
        <w:tc>
          <w:tcPr>
            <w:tcW w:w="140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4307A78">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DN1200旋挖灌注桩</w:t>
            </w:r>
          </w:p>
        </w:tc>
        <w:tc>
          <w:tcPr>
            <w:tcW w:w="552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2A4AEB9">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b w:val="0"/>
                <w:bCs w:val="0"/>
                <w:sz w:val="20"/>
                <w:szCs w:val="20"/>
                <w:vertAlign w:val="baseline"/>
                <w:lang w:val="en-US" w:eastAsia="zh-CN"/>
              </w:rPr>
              <w:t>1.地质情况土石方在报价中综合考虑。2.安拆泥浆循环系统、造浆。</w:t>
            </w:r>
          </w:p>
          <w:p w14:paraId="7B71BAE1">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b w:val="0"/>
                <w:bCs w:val="0"/>
                <w:sz w:val="20"/>
                <w:szCs w:val="20"/>
                <w:vertAlign w:val="baseline"/>
                <w:lang w:val="en-US" w:eastAsia="zh-CN"/>
              </w:rPr>
              <w:t>3.准备钻具,钻机就位、移动。</w:t>
            </w:r>
          </w:p>
          <w:p w14:paraId="420A5E88">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b w:val="0"/>
                <w:bCs w:val="0"/>
                <w:sz w:val="20"/>
                <w:szCs w:val="20"/>
                <w:vertAlign w:val="baseline"/>
                <w:lang w:val="en-US" w:eastAsia="zh-CN"/>
              </w:rPr>
              <w:t>4.钻孔、出渣、提钻、清孔、测孔等。5.含成孔，旋挖钻机成孔，作业方式干作业或根据现场实际情况选择，综合考虑。</w:t>
            </w:r>
          </w:p>
          <w:p w14:paraId="24EFE583">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b w:val="0"/>
                <w:bCs w:val="0"/>
                <w:sz w:val="20"/>
                <w:szCs w:val="20"/>
                <w:vertAlign w:val="baseline"/>
                <w:lang w:val="en-US" w:eastAsia="zh-CN"/>
              </w:rPr>
              <w:t>6.桩基混凝土浇筑，含作业人员、导管、相应机械及器具等，不含泵车、混凝土材料。7。桩基钢筋笼制作、含作业人员、工器具等，不含钢筋材料。8.包含试桩。9.桩基土因影响打桩的自行场内转运挪位所需人员及机械，桩基移位自行在场内道路的修整，包含机械、路基箱等，满足进度要求或因石方组成的机械选择及增加机械或更换大功率机械等。</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212C2B">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m³</w:t>
            </w:r>
          </w:p>
        </w:tc>
        <w:tc>
          <w:tcPr>
            <w:tcW w:w="939"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B573F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baseline"/>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1388</w:t>
            </w:r>
          </w:p>
        </w:tc>
        <w:tc>
          <w:tcPr>
            <w:tcW w:w="43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46F20D0">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p>
        </w:tc>
      </w:tr>
      <w:tr w14:paraId="10CDD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64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5343159">
            <w:pPr>
              <w:keepNext w:val="0"/>
              <w:keepLines w:val="0"/>
              <w:widowControl/>
              <w:suppressLineNumbers w:val="0"/>
              <w:jc w:val="center"/>
              <w:textAlignment w:val="center"/>
              <w:rPr>
                <w:rFonts w:hint="eastAsia" w:ascii="仿宋" w:hAnsi="仿宋" w:eastAsia="仿宋" w:cs="仿宋"/>
                <w:i w:val="0"/>
                <w:iCs w:val="0"/>
                <w:caps w:val="0"/>
                <w:color w:val="auto"/>
                <w:spacing w:val="0"/>
                <w:sz w:val="20"/>
                <w:szCs w:val="20"/>
                <w:u w:val="none"/>
                <w:shd w:val="clear" w:color="auto" w:fill="FFFFFF"/>
                <w:vertAlign w:val="baseline"/>
                <w:lang w:val="en-US" w:eastAsia="zh-CN"/>
              </w:rPr>
            </w:pPr>
            <w:r>
              <w:rPr>
                <w:rFonts w:hint="eastAsia" w:ascii="仿宋" w:hAnsi="仿宋" w:eastAsia="仿宋" w:cs="仿宋"/>
                <w:i w:val="0"/>
                <w:iCs w:val="0"/>
                <w:caps w:val="0"/>
                <w:color w:val="auto"/>
                <w:spacing w:val="0"/>
                <w:sz w:val="20"/>
                <w:szCs w:val="20"/>
                <w:u w:val="none"/>
                <w:shd w:val="clear" w:color="auto" w:fill="FFFFFF"/>
                <w:vertAlign w:val="baseline"/>
                <w:lang w:val="en-US" w:eastAsia="zh-CN"/>
              </w:rPr>
              <w:t>4</w:t>
            </w:r>
          </w:p>
        </w:tc>
        <w:tc>
          <w:tcPr>
            <w:tcW w:w="140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EA17E0E">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钢护筒安拆</w:t>
            </w:r>
          </w:p>
        </w:tc>
        <w:tc>
          <w:tcPr>
            <w:tcW w:w="552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56F943E">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1.D=800mm钢护筒安拆，含钢护筒材料及所需机械、作业人员等。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2.护筒厚度:综合;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3.包括但不限于因钢护筒埋设深度等引起的施工难度増拆、吊装况综合考虑;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4.综合钢护筒摊销次数;5.装卸泥浆,运输,清理整地.6.超过3米部分计算。7.含吊装、就位、埋设、接护筒、拆除、清洗。8.含机械在场内因</w:t>
            </w:r>
            <w:r>
              <w:rPr>
                <w:rFonts w:hint="eastAsia" w:ascii="仿宋" w:hAnsi="仿宋" w:eastAsia="仿宋" w:cs="仿宋"/>
                <w:b w:val="0"/>
                <w:bCs w:val="0"/>
                <w:sz w:val="20"/>
                <w:szCs w:val="20"/>
                <w:vertAlign w:val="baseline"/>
                <w:lang w:val="en-US" w:eastAsia="zh-CN"/>
              </w:rPr>
              <w:t>桩基土因影响打桩的自行场内转运挪位所需人员及机械，桩基移位自行在场内道路的修整，包含机械、路基箱等，满足进度要求或因石方组成的机械选择及增加机械或更换大功率机械等。</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8BEBCB8">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m</w:t>
            </w:r>
          </w:p>
        </w:tc>
        <w:tc>
          <w:tcPr>
            <w:tcW w:w="939"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4ABA151">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74</w:t>
            </w:r>
          </w:p>
        </w:tc>
        <w:tc>
          <w:tcPr>
            <w:tcW w:w="43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E17598E">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p>
        </w:tc>
      </w:tr>
      <w:tr w14:paraId="293C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64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F0D02E8">
            <w:pPr>
              <w:keepNext w:val="0"/>
              <w:keepLines w:val="0"/>
              <w:widowControl/>
              <w:suppressLineNumbers w:val="0"/>
              <w:jc w:val="center"/>
              <w:textAlignment w:val="center"/>
              <w:rPr>
                <w:rFonts w:hint="eastAsia" w:ascii="仿宋" w:hAnsi="仿宋" w:eastAsia="仿宋" w:cs="仿宋"/>
                <w:i w:val="0"/>
                <w:iCs w:val="0"/>
                <w:caps w:val="0"/>
                <w:color w:val="auto"/>
                <w:spacing w:val="0"/>
                <w:sz w:val="20"/>
                <w:szCs w:val="20"/>
                <w:u w:val="none"/>
                <w:shd w:val="clear" w:color="auto" w:fill="FFFFFF"/>
                <w:vertAlign w:val="baseline"/>
                <w:lang w:val="en-US" w:eastAsia="zh-CN"/>
              </w:rPr>
            </w:pPr>
            <w:r>
              <w:rPr>
                <w:rFonts w:hint="eastAsia" w:ascii="仿宋" w:hAnsi="仿宋" w:eastAsia="仿宋" w:cs="仿宋"/>
                <w:i w:val="0"/>
                <w:iCs w:val="0"/>
                <w:caps w:val="0"/>
                <w:color w:val="auto"/>
                <w:spacing w:val="0"/>
                <w:sz w:val="20"/>
                <w:szCs w:val="20"/>
                <w:u w:val="none"/>
                <w:shd w:val="clear" w:color="auto" w:fill="FFFFFF"/>
                <w:vertAlign w:val="baseline"/>
                <w:lang w:val="en-US" w:eastAsia="zh-CN"/>
              </w:rPr>
              <w:t>5</w:t>
            </w:r>
          </w:p>
        </w:tc>
        <w:tc>
          <w:tcPr>
            <w:tcW w:w="140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6D9EFDD">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钢护筒安拆</w:t>
            </w:r>
          </w:p>
        </w:tc>
        <w:tc>
          <w:tcPr>
            <w:tcW w:w="552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042148E">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1.D=1000mm钢护筒安拆，含钢护筒材料及所需机械、作业人员等。2.护筒厚度:综合;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3.包括但不限于因钢护筒埋设深度等引起的施工难度増拆、吊装况综合考虑;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4.综合钢护筒摊销次数;5.装卸泥浆,运输,清理整地。6.超过3米部分计算。7.含吊装、就位、埋设、接护筒、拆除、清洗。8.含机械在场内因</w:t>
            </w:r>
            <w:r>
              <w:rPr>
                <w:rFonts w:hint="eastAsia" w:ascii="仿宋" w:hAnsi="仿宋" w:eastAsia="仿宋" w:cs="仿宋"/>
                <w:b w:val="0"/>
                <w:bCs w:val="0"/>
                <w:sz w:val="20"/>
                <w:szCs w:val="20"/>
                <w:vertAlign w:val="baseline"/>
                <w:lang w:val="en-US" w:eastAsia="zh-CN"/>
              </w:rPr>
              <w:t>桩基土因影响打桩的自行场内转运挪位所需人员及机械，桩基移位自行在场内道路的修整，包含机械、路基箱等，满足进度要求或因石方组成的机械选择及增加机械或更换大功率机械等。</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FDCD2E">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m</w:t>
            </w:r>
          </w:p>
        </w:tc>
        <w:tc>
          <w:tcPr>
            <w:tcW w:w="939"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A2D6276">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102</w:t>
            </w:r>
          </w:p>
        </w:tc>
        <w:tc>
          <w:tcPr>
            <w:tcW w:w="43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CFF991E">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p>
        </w:tc>
      </w:tr>
      <w:tr w14:paraId="5E5C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64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01F4292">
            <w:pPr>
              <w:keepNext w:val="0"/>
              <w:keepLines w:val="0"/>
              <w:widowControl/>
              <w:suppressLineNumbers w:val="0"/>
              <w:jc w:val="center"/>
              <w:textAlignment w:val="center"/>
              <w:rPr>
                <w:rFonts w:hint="eastAsia" w:ascii="仿宋" w:hAnsi="仿宋" w:eastAsia="仿宋" w:cs="仿宋"/>
                <w:i w:val="0"/>
                <w:iCs w:val="0"/>
                <w:caps w:val="0"/>
                <w:color w:val="auto"/>
                <w:spacing w:val="0"/>
                <w:sz w:val="20"/>
                <w:szCs w:val="20"/>
                <w:u w:val="none"/>
                <w:shd w:val="clear" w:color="auto" w:fill="FFFFFF"/>
                <w:vertAlign w:val="baseline"/>
                <w:lang w:val="en-US" w:eastAsia="zh-CN"/>
              </w:rPr>
            </w:pPr>
            <w:r>
              <w:rPr>
                <w:rFonts w:hint="eastAsia" w:ascii="仿宋" w:hAnsi="仿宋" w:eastAsia="仿宋" w:cs="仿宋"/>
                <w:i w:val="0"/>
                <w:iCs w:val="0"/>
                <w:caps w:val="0"/>
                <w:color w:val="auto"/>
                <w:spacing w:val="0"/>
                <w:sz w:val="20"/>
                <w:szCs w:val="20"/>
                <w:u w:val="none"/>
                <w:shd w:val="clear" w:color="auto" w:fill="FFFFFF"/>
                <w:vertAlign w:val="baseline"/>
                <w:lang w:val="en-US" w:eastAsia="zh-CN"/>
              </w:rPr>
              <w:t>6</w:t>
            </w:r>
          </w:p>
        </w:tc>
        <w:tc>
          <w:tcPr>
            <w:tcW w:w="140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D70302F">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钢护筒安拆</w:t>
            </w:r>
          </w:p>
        </w:tc>
        <w:tc>
          <w:tcPr>
            <w:tcW w:w="552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78D8289">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1.D=1200mm钢护筒安拆，含钢护筒材料及所需机械、作业人员等。2.护筒厚度:综合;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3.包括但不限于因钢护筒埋设深度等引起的施工难度増拆、吊装况综合考虑;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4.综合钢护筒摊销次数;5.装卸泥浆,运输,清理整地。6.超过3米部分计算。7.含吊装、就位、埋设、接护筒、拆除、清洗。8.含机械在场内因</w:t>
            </w:r>
            <w:r>
              <w:rPr>
                <w:rFonts w:hint="eastAsia" w:ascii="仿宋" w:hAnsi="仿宋" w:eastAsia="仿宋" w:cs="仿宋"/>
                <w:b w:val="0"/>
                <w:bCs w:val="0"/>
                <w:sz w:val="20"/>
                <w:szCs w:val="20"/>
                <w:vertAlign w:val="baseline"/>
                <w:lang w:val="en-US" w:eastAsia="zh-CN"/>
              </w:rPr>
              <w:t>桩基土因影响打桩的自行场内转运挪位所需人员及机械，桩基移位自行在场内道路的修整，包含机械、路基箱等，满足进度要求或因石方组成的机械选择及增加机械或更换大功率机械等。</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565F01B">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m</w:t>
            </w:r>
          </w:p>
        </w:tc>
        <w:tc>
          <w:tcPr>
            <w:tcW w:w="939"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6358960">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84</w:t>
            </w:r>
          </w:p>
        </w:tc>
        <w:tc>
          <w:tcPr>
            <w:tcW w:w="43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6503CD6">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p>
        </w:tc>
      </w:tr>
      <w:tr w14:paraId="0421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64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6C5AB74">
            <w:pPr>
              <w:keepNext w:val="0"/>
              <w:keepLines w:val="0"/>
              <w:widowControl/>
              <w:suppressLineNumbers w:val="0"/>
              <w:jc w:val="center"/>
              <w:textAlignment w:val="center"/>
              <w:rPr>
                <w:rFonts w:hint="eastAsia" w:ascii="仿宋" w:hAnsi="仿宋" w:eastAsia="仿宋" w:cs="仿宋"/>
                <w:i w:val="0"/>
                <w:iCs w:val="0"/>
                <w:caps w:val="0"/>
                <w:color w:val="auto"/>
                <w:spacing w:val="0"/>
                <w:sz w:val="20"/>
                <w:szCs w:val="20"/>
                <w:u w:val="none"/>
                <w:shd w:val="clear" w:color="auto" w:fill="FFFFFF"/>
                <w:vertAlign w:val="baseline"/>
                <w:lang w:val="en-US" w:eastAsia="zh-CN"/>
              </w:rPr>
            </w:pPr>
            <w:r>
              <w:rPr>
                <w:rFonts w:hint="eastAsia" w:ascii="仿宋" w:hAnsi="仿宋" w:eastAsia="仿宋" w:cs="仿宋"/>
                <w:i w:val="0"/>
                <w:iCs w:val="0"/>
                <w:caps w:val="0"/>
                <w:color w:val="auto"/>
                <w:spacing w:val="0"/>
                <w:sz w:val="20"/>
                <w:szCs w:val="20"/>
                <w:u w:val="none"/>
                <w:shd w:val="clear" w:color="auto" w:fill="FFFFFF"/>
                <w:vertAlign w:val="baseline"/>
                <w:lang w:val="en-US" w:eastAsia="zh-CN"/>
              </w:rPr>
              <w:t>7</w:t>
            </w:r>
          </w:p>
        </w:tc>
        <w:tc>
          <w:tcPr>
            <w:tcW w:w="140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7505BDC">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截(凿)桩头</w:t>
            </w:r>
          </w:p>
        </w:tc>
        <w:tc>
          <w:tcPr>
            <w:tcW w:w="5527"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CA8B26">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1.混凝土强度等级:综合考虑;</w:t>
            </w:r>
          </w:p>
          <w:p w14:paraId="6A52DB7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2.带钢筋桩头。</w:t>
            </w:r>
          </w:p>
          <w:p w14:paraId="68A598CF">
            <w:pPr>
              <w:keepNext w:val="0"/>
              <w:keepLines w:val="0"/>
              <w:widowControl/>
              <w:suppressLineNumbers w:val="0"/>
              <w:jc w:val="left"/>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3.桩类型:旋挖灌注桩;4.定位、切割、桩头运至50m内堆放。桩头混凝土凿除、钢筋截断。5.截(凿)方式：环切法，满足规范验收要求，含将桩头挖出、凿除切割等。</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AB3DCF8">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m3</w:t>
            </w:r>
          </w:p>
        </w:tc>
        <w:tc>
          <w:tcPr>
            <w:tcW w:w="939"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1E5685D">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r>
              <w:rPr>
                <w:rFonts w:hint="eastAsia" w:ascii="仿宋" w:hAnsi="仿宋" w:eastAsia="仿宋" w:cs="仿宋"/>
                <w:i w:val="0"/>
                <w:iCs w:val="0"/>
                <w:color w:val="000000"/>
                <w:kern w:val="0"/>
                <w:sz w:val="20"/>
                <w:szCs w:val="20"/>
                <w:u w:val="none"/>
                <w:lang w:val="en-US" w:eastAsia="zh-CN" w:bidi="ar"/>
              </w:rPr>
              <w:t>54</w:t>
            </w:r>
          </w:p>
        </w:tc>
        <w:tc>
          <w:tcPr>
            <w:tcW w:w="430"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EB13655">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p>
        </w:tc>
      </w:tr>
    </w:tbl>
    <w:p w14:paraId="7C6DBF31">
      <w:pPr>
        <w:kinsoku w:val="0"/>
        <w:autoSpaceDE w:val="0"/>
        <w:autoSpaceDN w:val="0"/>
        <w:adjustRightInd w:val="0"/>
        <w:snapToGrid w:val="0"/>
        <w:spacing w:line="360" w:lineRule="auto"/>
        <w:ind w:left="5760" w:leftChars="1672" w:hanging="2249" w:hangingChars="700"/>
        <w:rPr>
          <w:rFonts w:hint="eastAsia" w:ascii="仿宋_GB2312" w:hAnsi="仿宋_GB2312" w:eastAsia="仿宋_GB2312" w:cs="仿宋_GB2312"/>
          <w:b/>
          <w:bCs/>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0N2EzYThiNDRkMDg3ZTJiYjlmNzQ5MmFjYzE2OWMifQ=="/>
  </w:docVars>
  <w:rsids>
    <w:rsidRoot w:val="009038B5"/>
    <w:rsid w:val="00104DA1"/>
    <w:rsid w:val="001C26EA"/>
    <w:rsid w:val="0026013B"/>
    <w:rsid w:val="00345906"/>
    <w:rsid w:val="00381B5D"/>
    <w:rsid w:val="00550BF6"/>
    <w:rsid w:val="00683283"/>
    <w:rsid w:val="007D4E31"/>
    <w:rsid w:val="008109FE"/>
    <w:rsid w:val="00866BDD"/>
    <w:rsid w:val="008720F9"/>
    <w:rsid w:val="009038B5"/>
    <w:rsid w:val="009B6697"/>
    <w:rsid w:val="00A21113"/>
    <w:rsid w:val="00A27CA4"/>
    <w:rsid w:val="00C31464"/>
    <w:rsid w:val="00CE5C7E"/>
    <w:rsid w:val="01A23607"/>
    <w:rsid w:val="029B7AB8"/>
    <w:rsid w:val="031C69F7"/>
    <w:rsid w:val="0475016D"/>
    <w:rsid w:val="05BB6587"/>
    <w:rsid w:val="07E24E03"/>
    <w:rsid w:val="082223BA"/>
    <w:rsid w:val="0B8A4D3C"/>
    <w:rsid w:val="0C3923C8"/>
    <w:rsid w:val="0E7E2314"/>
    <w:rsid w:val="1042528A"/>
    <w:rsid w:val="109273CF"/>
    <w:rsid w:val="11ED369C"/>
    <w:rsid w:val="12A56805"/>
    <w:rsid w:val="13241C4C"/>
    <w:rsid w:val="14123F56"/>
    <w:rsid w:val="150171F7"/>
    <w:rsid w:val="153D497F"/>
    <w:rsid w:val="155618F4"/>
    <w:rsid w:val="17925A71"/>
    <w:rsid w:val="18CE4259"/>
    <w:rsid w:val="1BBC22C6"/>
    <w:rsid w:val="1C037113"/>
    <w:rsid w:val="1EC5307A"/>
    <w:rsid w:val="22790AAA"/>
    <w:rsid w:val="27466C40"/>
    <w:rsid w:val="27D021DD"/>
    <w:rsid w:val="27F4247E"/>
    <w:rsid w:val="2A506280"/>
    <w:rsid w:val="2AFE685E"/>
    <w:rsid w:val="2B4041CA"/>
    <w:rsid w:val="2DB66F7C"/>
    <w:rsid w:val="32820081"/>
    <w:rsid w:val="360D5201"/>
    <w:rsid w:val="36424D44"/>
    <w:rsid w:val="37440535"/>
    <w:rsid w:val="386104FA"/>
    <w:rsid w:val="38813853"/>
    <w:rsid w:val="3AFE4C22"/>
    <w:rsid w:val="3B782133"/>
    <w:rsid w:val="3CE07B72"/>
    <w:rsid w:val="3DBA4867"/>
    <w:rsid w:val="3DE90CA8"/>
    <w:rsid w:val="402C5DCE"/>
    <w:rsid w:val="407451A1"/>
    <w:rsid w:val="407B61A9"/>
    <w:rsid w:val="409F7D44"/>
    <w:rsid w:val="42072EA5"/>
    <w:rsid w:val="43E24BAA"/>
    <w:rsid w:val="446C42D1"/>
    <w:rsid w:val="44E57CD9"/>
    <w:rsid w:val="460C4A32"/>
    <w:rsid w:val="464253F9"/>
    <w:rsid w:val="479608ED"/>
    <w:rsid w:val="4A946440"/>
    <w:rsid w:val="4B2254BE"/>
    <w:rsid w:val="4B2807A7"/>
    <w:rsid w:val="4BEA62ED"/>
    <w:rsid w:val="4C8D2CCC"/>
    <w:rsid w:val="4D16166A"/>
    <w:rsid w:val="4E3045C2"/>
    <w:rsid w:val="50D6023A"/>
    <w:rsid w:val="51271DBC"/>
    <w:rsid w:val="519D6406"/>
    <w:rsid w:val="51B873D2"/>
    <w:rsid w:val="51EB4B97"/>
    <w:rsid w:val="524612B5"/>
    <w:rsid w:val="52F052AA"/>
    <w:rsid w:val="53C438F2"/>
    <w:rsid w:val="56C51F97"/>
    <w:rsid w:val="5763458C"/>
    <w:rsid w:val="580A75F0"/>
    <w:rsid w:val="589650EA"/>
    <w:rsid w:val="59377DAA"/>
    <w:rsid w:val="596A0A97"/>
    <w:rsid w:val="5A777061"/>
    <w:rsid w:val="60232902"/>
    <w:rsid w:val="60B75803"/>
    <w:rsid w:val="633C6871"/>
    <w:rsid w:val="65130274"/>
    <w:rsid w:val="65DD0D92"/>
    <w:rsid w:val="69706E2D"/>
    <w:rsid w:val="69E2765A"/>
    <w:rsid w:val="69E87392"/>
    <w:rsid w:val="6B9355B2"/>
    <w:rsid w:val="70B354D9"/>
    <w:rsid w:val="723A5C94"/>
    <w:rsid w:val="72AC553B"/>
    <w:rsid w:val="72F7464D"/>
    <w:rsid w:val="731C24FD"/>
    <w:rsid w:val="746B1E19"/>
    <w:rsid w:val="74875734"/>
    <w:rsid w:val="74C23A26"/>
    <w:rsid w:val="75D26B11"/>
    <w:rsid w:val="770D7ED7"/>
    <w:rsid w:val="770E47E5"/>
    <w:rsid w:val="773D6009"/>
    <w:rsid w:val="77F32545"/>
    <w:rsid w:val="7B40638B"/>
    <w:rsid w:val="7C7A3DB5"/>
    <w:rsid w:val="7D142688"/>
    <w:rsid w:val="7DCE2A24"/>
    <w:rsid w:val="7FF90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705"/>
    </w:pPr>
    <w:rPr>
      <w:sz w:val="28"/>
    </w:rPr>
  </w:style>
  <w:style w:type="paragraph" w:styleId="3">
    <w:name w:val="Body Text Indent 2"/>
    <w:basedOn w:val="1"/>
    <w:next w:val="1"/>
    <w:qFormat/>
    <w:uiPriority w:val="0"/>
    <w:pPr>
      <w:autoSpaceDE w:val="0"/>
      <w:autoSpaceDN w:val="0"/>
      <w:adjustRightInd w:val="0"/>
      <w:spacing w:line="410" w:lineRule="atLeast"/>
      <w:ind w:left="480"/>
      <w:jc w:val="left"/>
    </w:pPr>
    <w:rPr>
      <w:rFonts w:ascii="宋体"/>
      <w:color w:val="000000"/>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2"/>
    <w:next w:val="1"/>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heme="minorHAnsi" w:hAnsiTheme="minorHAnsi" w:eastAsiaTheme="minorEastAsia" w:cstheme="minorBidi"/>
      <w:kern w:val="2"/>
      <w:sz w:val="18"/>
      <w:szCs w:val="18"/>
    </w:rPr>
  </w:style>
  <w:style w:type="character" w:customStyle="1" w:styleId="14">
    <w:name w:val="页脚 字符"/>
    <w:basedOn w:val="10"/>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1904</Words>
  <Characters>2074</Characters>
  <Lines>1</Lines>
  <Paragraphs>1</Paragraphs>
  <TotalTime>52</TotalTime>
  <ScaleCrop>false</ScaleCrop>
  <LinksUpToDate>false</LinksUpToDate>
  <CharactersWithSpaces>2176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2022-06-23T03:46:00Z</dcterms:created>
  <dc:creator>dwenyong</dc:creator>
  <cp:lastModifiedBy>WPS_1535447040</cp:lastModifiedBy>
  <cp:lastPrinted>2024-05-31T07:44:00Z</cp:lastPrinted>
  <dcterms:modified xsi:type="dcterms:W3CDTF">2026-02-25T03:16:41Z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D0C5CEC6BCEC41A383B51E00ECEBC54B_13</vt:lpwstr>
  </property>
  <property fmtid="{D5CDD505-2E9C-101B-9397-08002B2CF9AE}" pid="4" name="KSOTemplateDocerSaveRecord">
    <vt:lpwstr>eyJoZGlkIjoiMDBiN2ZhZDY5N2QyOTU4NTk0Y2Q1YmNlYmNlZjU4YjQiLCJ1c2VySWQiOiIzOTg2MzczMjIifQ==</vt:lpwstr>
  </property>
</Properties>
</file>